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695A" w14:textId="3BA3B3F4" w:rsidR="00037B5D" w:rsidRPr="00037B5D" w:rsidRDefault="00037B5D" w:rsidP="00A354AA">
      <w:pPr>
        <w:jc w:val="both"/>
        <w:rPr>
          <w:b/>
          <w:bCs/>
        </w:rPr>
      </w:pPr>
      <w:r w:rsidRPr="00037B5D">
        <w:rPr>
          <w:b/>
          <w:bCs/>
        </w:rPr>
        <w:t xml:space="preserve">Report about the comparative content analysis of instruments adopted by international and European organizations/countries regarding human rights protection </w:t>
      </w:r>
      <w:proofErr w:type="gramStart"/>
      <w:r w:rsidRPr="00037B5D">
        <w:rPr>
          <w:b/>
          <w:bCs/>
        </w:rPr>
        <w:t>online</w:t>
      </w:r>
      <w:proofErr w:type="gramEnd"/>
    </w:p>
    <w:p w14:paraId="62BF2175" w14:textId="77777777" w:rsidR="00037B5D" w:rsidRDefault="00037B5D" w:rsidP="00A354AA">
      <w:pPr>
        <w:jc w:val="both"/>
      </w:pPr>
    </w:p>
    <w:p w14:paraId="717DF010" w14:textId="3F9435BC" w:rsidR="00037B5D" w:rsidRDefault="00037B5D" w:rsidP="00A354AA">
      <w:pPr>
        <w:jc w:val="both"/>
      </w:pPr>
      <w:r>
        <w:t>INTRODUCTION</w:t>
      </w:r>
    </w:p>
    <w:p w14:paraId="5FA14033" w14:textId="77777777" w:rsidR="00037B5D" w:rsidRDefault="00037B5D" w:rsidP="00A354AA">
      <w:pPr>
        <w:jc w:val="both"/>
      </w:pPr>
    </w:p>
    <w:p w14:paraId="0C65AC5A" w14:textId="36C42E8F" w:rsidR="003309DA" w:rsidRDefault="003554EA" w:rsidP="00A354AA">
      <w:pPr>
        <w:jc w:val="both"/>
      </w:pPr>
      <w:r>
        <w:t>In our increasingly digitalized and interconnected world, the intersection of human rights and technology has become a central concern. The advent of artificial intelligence, the omnipresence of data, and the rapid development of emerging technologies</w:t>
      </w:r>
      <w:r w:rsidR="0001428F">
        <w:t xml:space="preserve">, </w:t>
      </w:r>
      <w:r w:rsidR="0001428F">
        <w:rPr>
          <w:color w:val="000000"/>
        </w:rPr>
        <w:t>specifically advances in Large Language Models (LLMs) such as ChatGPT,</w:t>
      </w:r>
      <w:r w:rsidR="0001428F">
        <w:t xml:space="preserve"> </w:t>
      </w:r>
      <w:r>
        <w:t xml:space="preserve">have ushered in a new era, one where the protection and promotion of human rights faces </w:t>
      </w:r>
      <w:r w:rsidR="003309DA">
        <w:t xml:space="preserve">unprecedented </w:t>
      </w:r>
      <w:r>
        <w:t>challenges</w:t>
      </w:r>
      <w:r w:rsidR="003309DA">
        <w:t>, but also</w:t>
      </w:r>
      <w:r>
        <w:t xml:space="preserve"> opportunities.</w:t>
      </w:r>
      <w:r w:rsidR="0001428F">
        <w:t xml:space="preserve"> The pressing concern and the predominant question </w:t>
      </w:r>
      <w:r w:rsidR="00A354AA">
        <w:t>are</w:t>
      </w:r>
      <w:r w:rsidR="0001428F">
        <w:t xml:space="preserve"> whether any legisla</w:t>
      </w:r>
      <w:r w:rsidR="003309DA">
        <w:t>tive or policy framework</w:t>
      </w:r>
      <w:r w:rsidR="0001428F">
        <w:t>, at nation</w:t>
      </w:r>
      <w:r w:rsidR="003309DA">
        <w:t>al</w:t>
      </w:r>
      <w:r w:rsidR="0001428F">
        <w:t>, regional or global scale</w:t>
      </w:r>
      <w:r w:rsidR="00A354AA">
        <w:t>s</w:t>
      </w:r>
      <w:r w:rsidR="0001428F">
        <w:t xml:space="preserve">, is able to keep up with the unprecedented pace of </w:t>
      </w:r>
      <w:r w:rsidR="003309DA">
        <w:t xml:space="preserve">such </w:t>
      </w:r>
      <w:r w:rsidR="0001428F">
        <w:t xml:space="preserve">technological advancements. </w:t>
      </w:r>
    </w:p>
    <w:p w14:paraId="4F1BAC4C" w14:textId="0D3E7E84" w:rsidR="00161E86" w:rsidRDefault="003554EA" w:rsidP="00A354AA">
      <w:pPr>
        <w:jc w:val="both"/>
      </w:pPr>
      <w:r>
        <w:t xml:space="preserve">This compilation of research papers delves into the intricate relationship between human rights and technology, </w:t>
      </w:r>
      <w:r w:rsidR="003309DA">
        <w:t xml:space="preserve">focussing on specific legal and human rights instruments, mechanisms and initiatives in </w:t>
      </w:r>
      <w:r w:rsidR="00161E86">
        <w:t>different</w:t>
      </w:r>
      <w:r w:rsidR="003309DA">
        <w:t xml:space="preserve"> </w:t>
      </w:r>
      <w:r w:rsidR="00161E86">
        <w:t>legal, political and social contexts</w:t>
      </w:r>
      <w:r w:rsidR="00524C75">
        <w:t xml:space="preserve"> that imply a degree of international regulation and protection.</w:t>
      </w:r>
    </w:p>
    <w:p w14:paraId="186508FC" w14:textId="00E246F2" w:rsidR="00524C75" w:rsidRDefault="003554EA" w:rsidP="00A354AA">
      <w:pPr>
        <w:jc w:val="both"/>
      </w:pPr>
      <w:r>
        <w:t xml:space="preserve">The collection encompasses various </w:t>
      </w:r>
      <w:r w:rsidR="00161E86">
        <w:t xml:space="preserve">topics ranging from </w:t>
      </w:r>
      <w:r w:rsidR="00524C75">
        <w:t>the right to privacy and</w:t>
      </w:r>
      <w:r w:rsidR="00161E86">
        <w:t xml:space="preserve"> data protection in </w:t>
      </w:r>
      <w:r w:rsidR="00A354AA">
        <w:t xml:space="preserve">the </w:t>
      </w:r>
      <w:r w:rsidR="00161E86">
        <w:t>African Union</w:t>
      </w:r>
      <w:r w:rsidR="00524C75">
        <w:t xml:space="preserve">, </w:t>
      </w:r>
      <w:r w:rsidR="00161E86">
        <w:t xml:space="preserve">the Council of Europe, </w:t>
      </w:r>
      <w:r w:rsidR="00524C75">
        <w:t xml:space="preserve">the European Union and the Ibero-American States, to </w:t>
      </w:r>
      <w:r w:rsidR="00161E86">
        <w:t>pr</w:t>
      </w:r>
      <w:r w:rsidR="00524C75">
        <w:t>o</w:t>
      </w:r>
      <w:r w:rsidR="00161E86">
        <w:t>tection of children in the digital environment, digital consumers rights</w:t>
      </w:r>
      <w:r w:rsidR="00524C75">
        <w:t>, artificial intelligence and ethics and business and human rights.</w:t>
      </w:r>
    </w:p>
    <w:p w14:paraId="58A40D85" w14:textId="77777777" w:rsidR="00A15033" w:rsidRDefault="00494643" w:rsidP="00A354AA">
      <w:pPr>
        <w:jc w:val="both"/>
      </w:pPr>
      <w:r>
        <w:t>Each</w:t>
      </w:r>
      <w:r w:rsidR="00524C75">
        <w:t xml:space="preserve"> contribution provide</w:t>
      </w:r>
      <w:r>
        <w:t>s</w:t>
      </w:r>
      <w:r w:rsidR="00524C75">
        <w:t xml:space="preserve"> an analytical insight into the main aspect</w:t>
      </w:r>
      <w:r w:rsidR="007F11D0">
        <w:t>s</w:t>
      </w:r>
      <w:r w:rsidR="00524C75">
        <w:t xml:space="preserve"> of the existing</w:t>
      </w:r>
      <w:r w:rsidR="007F11D0">
        <w:t xml:space="preserve"> instruments</w:t>
      </w:r>
      <w:r w:rsidR="00524C75">
        <w:t xml:space="preserve"> </w:t>
      </w:r>
      <w:r w:rsidR="007F11D0">
        <w:t>or pending legislative initiatives</w:t>
      </w:r>
      <w:r>
        <w:t xml:space="preserve"> addressing a specific area</w:t>
      </w:r>
      <w:r w:rsidR="007F11D0">
        <w:t xml:space="preserve">, </w:t>
      </w:r>
      <w:r>
        <w:t xml:space="preserve">thus </w:t>
      </w:r>
      <w:r w:rsidR="007F11D0">
        <w:t xml:space="preserve">enabling the readers to grasp the complexities of international protections of human rights through concise review of the significance, structure, and the content </w:t>
      </w:r>
      <w:r>
        <w:t>of such mechanisms. The comparative analysis and the potential challenges in the implementation are addressed where appropriate, to allow for a critical reflection that has resulted in</w:t>
      </w:r>
      <w:r w:rsidR="00A15033">
        <w:t xml:space="preserve"> a set of</w:t>
      </w:r>
      <w:r>
        <w:t xml:space="preserve"> recommendations for various stakeholders who work on ensuring</w:t>
      </w:r>
      <w:r w:rsidR="00A15033">
        <w:t xml:space="preserve"> human rights are protected at various levels.</w:t>
      </w:r>
    </w:p>
    <w:p w14:paraId="46E80934" w14:textId="70B188BA" w:rsidR="000111E4" w:rsidRDefault="00A15033" w:rsidP="00A354AA">
      <w:pPr>
        <w:jc w:val="both"/>
      </w:pPr>
      <w:r>
        <w:t xml:space="preserve">The </w:t>
      </w:r>
      <w:r w:rsidR="003554EA">
        <w:t>collection</w:t>
      </w:r>
      <w:r>
        <w:t xml:space="preserve"> covers a diverse range of topics with an overarching discourse on the impact of technology on human rights and efforts to address</w:t>
      </w:r>
      <w:r w:rsidR="000111E4">
        <w:t xml:space="preserve"> the many emerging issues in this field. R</w:t>
      </w:r>
      <w:r>
        <w:t>egardless of the diversity of topics explored,</w:t>
      </w:r>
      <w:r w:rsidR="003554EA">
        <w:t xml:space="preserve"> </w:t>
      </w:r>
      <w:r w:rsidR="000111E4">
        <w:t xml:space="preserve">the underlining idea is that technology is </w:t>
      </w:r>
      <w:r w:rsidR="003554EA">
        <w:t>often viewed as a double-edged sword</w:t>
      </w:r>
      <w:r w:rsidR="000111E4">
        <w:t xml:space="preserve"> which </w:t>
      </w:r>
      <w:r w:rsidR="003554EA">
        <w:t xml:space="preserve">can both facilitate and hinder the advancement of human rights. </w:t>
      </w:r>
      <w:r w:rsidR="000111E4">
        <w:t xml:space="preserve">The obvious benefits of technology in strengthening </w:t>
      </w:r>
      <w:r w:rsidR="000111E4">
        <w:lastRenderedPageBreak/>
        <w:t xml:space="preserve">our democratic societies </w:t>
      </w:r>
      <w:r w:rsidR="004E6F96">
        <w:t>are</w:t>
      </w:r>
      <w:r w:rsidR="000A619E">
        <w:t xml:space="preserve"> followed by question</w:t>
      </w:r>
      <w:r w:rsidR="004E6F96">
        <w:t>s</w:t>
      </w:r>
      <w:r w:rsidR="000A619E">
        <w:t xml:space="preserve"> about safety and privacy issues, discrimination and the protection of those in situation of vulnerability, as well as the general discourse about the erosion of traditional and </w:t>
      </w:r>
      <w:r w:rsidR="00A354AA">
        <w:t>existing</w:t>
      </w:r>
      <w:r w:rsidR="000A619E">
        <w:t xml:space="preserve"> human rights safeguards. </w:t>
      </w:r>
    </w:p>
    <w:p w14:paraId="5775FA3A" w14:textId="0BEAF0DF" w:rsidR="000A619E" w:rsidRDefault="000A619E" w:rsidP="00A354AA">
      <w:pPr>
        <w:jc w:val="both"/>
      </w:pPr>
      <w:r>
        <w:t>Exploring the many</w:t>
      </w:r>
      <w:r w:rsidR="003554EA">
        <w:t xml:space="preserve"> nuances</w:t>
      </w:r>
      <w:r>
        <w:t xml:space="preserve"> the</w:t>
      </w:r>
      <w:r w:rsidR="004E6F96">
        <w:t>se</w:t>
      </w:r>
      <w:r>
        <w:t xml:space="preserve"> selected instruments address</w:t>
      </w:r>
      <w:r w:rsidR="003554EA">
        <w:t xml:space="preserve"> is essential for developing more holistic and informed policies</w:t>
      </w:r>
      <w:r>
        <w:t xml:space="preserve"> that should </w:t>
      </w:r>
      <w:r w:rsidR="004E6F96">
        <w:t>offer</w:t>
      </w:r>
      <w:r>
        <w:t xml:space="preserve"> both global </w:t>
      </w:r>
      <w:r w:rsidR="00A354AA">
        <w:t xml:space="preserve">and regional </w:t>
      </w:r>
      <w:r>
        <w:t>perspective</w:t>
      </w:r>
      <w:r w:rsidR="00A354AA">
        <w:t xml:space="preserve">s </w:t>
      </w:r>
      <w:r w:rsidR="004E6F96">
        <w:t xml:space="preserve">with an aim of </w:t>
      </w:r>
      <w:r w:rsidR="00A354AA">
        <w:t xml:space="preserve">ensuring the human rights debate remains an inclusive and participatory endeavour. </w:t>
      </w:r>
    </w:p>
    <w:p w14:paraId="715B952C" w14:textId="77777777" w:rsidR="000A619E" w:rsidRDefault="000A619E" w:rsidP="00A354AA">
      <w:pPr>
        <w:jc w:val="both"/>
      </w:pPr>
    </w:p>
    <w:p w14:paraId="5AD5A93F" w14:textId="77777777" w:rsidR="003554EA" w:rsidRDefault="003554EA" w:rsidP="00A354AA">
      <w:pPr>
        <w:jc w:val="both"/>
      </w:pPr>
    </w:p>
    <w:p w14:paraId="51CAB8F1" w14:textId="77777777" w:rsidR="003554EA" w:rsidRDefault="003554EA" w:rsidP="00A354AA">
      <w:pPr>
        <w:jc w:val="both"/>
      </w:pPr>
    </w:p>
    <w:p w14:paraId="7747F6B5" w14:textId="6C9AC31C" w:rsidR="00734B7A" w:rsidRPr="00734B7A" w:rsidRDefault="00734B7A" w:rsidP="00A354AA">
      <w:pPr>
        <w:jc w:val="both"/>
      </w:pPr>
    </w:p>
    <w:sectPr w:rsidR="00734B7A" w:rsidRPr="00734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EA"/>
    <w:rsid w:val="000111E4"/>
    <w:rsid w:val="0001428F"/>
    <w:rsid w:val="00037B5D"/>
    <w:rsid w:val="000A619E"/>
    <w:rsid w:val="000D1F18"/>
    <w:rsid w:val="00161E86"/>
    <w:rsid w:val="00300B29"/>
    <w:rsid w:val="003309DA"/>
    <w:rsid w:val="003554EA"/>
    <w:rsid w:val="00460AC5"/>
    <w:rsid w:val="00494643"/>
    <w:rsid w:val="004B76BA"/>
    <w:rsid w:val="004E6F96"/>
    <w:rsid w:val="00523C74"/>
    <w:rsid w:val="00524C75"/>
    <w:rsid w:val="005368A0"/>
    <w:rsid w:val="005A5D7B"/>
    <w:rsid w:val="0066233B"/>
    <w:rsid w:val="00734B7A"/>
    <w:rsid w:val="007E024D"/>
    <w:rsid w:val="007F11D0"/>
    <w:rsid w:val="00847F66"/>
    <w:rsid w:val="00865568"/>
    <w:rsid w:val="008D5E21"/>
    <w:rsid w:val="009D338A"/>
    <w:rsid w:val="00A15033"/>
    <w:rsid w:val="00A354AA"/>
    <w:rsid w:val="00B23BBD"/>
    <w:rsid w:val="00D24B2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5E7B"/>
  <w15:chartTrackingRefBased/>
  <w15:docId w15:val="{9C3DB1C5-9DBF-44E5-9AE1-F4B30440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Rykinuoroda">
    <w:name w:val="Intense Reference"/>
    <w:basedOn w:val="Numatytasispastraiposriftas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prastasis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Numatytasispastraiposriftas"/>
    <w:link w:val="Paragraph"/>
    <w:rsid w:val="00734B7A"/>
    <w:rPr>
      <w:rFonts w:ascii="Noto Serif" w:hAnsi="Noto Serif" w:cs="Noto Seri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586E-0586-4A06-905C-BDE3B9B6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Maslo Cerkic</dc:creator>
  <cp:keywords/>
  <dc:description/>
  <cp:lastModifiedBy>Vygantė Milašiūtė</cp:lastModifiedBy>
  <cp:revision>2</cp:revision>
  <dcterms:created xsi:type="dcterms:W3CDTF">2023-12-03T19:32:00Z</dcterms:created>
  <dcterms:modified xsi:type="dcterms:W3CDTF">2023-12-03T19:32:00Z</dcterms:modified>
</cp:coreProperties>
</file>